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1C" w:rsidRDefault="00627A1C" w:rsidP="00627A1C">
      <w:pPr>
        <w:spacing w:after="0" w:line="240" w:lineRule="auto"/>
        <w:jc w:val="center"/>
        <w:rPr>
          <w:b/>
        </w:rPr>
      </w:pPr>
      <w:bookmarkStart w:id="0" w:name="_GoBack"/>
      <w:bookmarkEnd w:id="0"/>
      <w:r>
        <w:rPr>
          <w:b/>
        </w:rPr>
        <w:t>LEGISLATIVO DE REDENTORA – 2021</w:t>
      </w:r>
    </w:p>
    <w:p w:rsidR="00627A1C" w:rsidRDefault="00627A1C" w:rsidP="00627A1C">
      <w:pPr>
        <w:spacing w:after="0" w:line="240" w:lineRule="auto"/>
        <w:rPr>
          <w:b/>
        </w:rPr>
      </w:pPr>
    </w:p>
    <w:p w:rsidR="00627A1C" w:rsidRDefault="00627A1C" w:rsidP="00627A1C">
      <w:pPr>
        <w:spacing w:after="0" w:line="240" w:lineRule="auto"/>
        <w:jc w:val="center"/>
        <w:rPr>
          <w:b/>
        </w:rPr>
      </w:pPr>
    </w:p>
    <w:p w:rsidR="00627A1C" w:rsidRDefault="00627A1C" w:rsidP="00627A1C">
      <w:pPr>
        <w:spacing w:after="0" w:line="240" w:lineRule="auto"/>
        <w:jc w:val="center"/>
        <w:rPr>
          <w:b/>
        </w:rPr>
      </w:pPr>
      <w:r>
        <w:rPr>
          <w:b/>
        </w:rPr>
        <w:t>Notas Explicativas do Balanço Patrimonial</w:t>
      </w:r>
    </w:p>
    <w:p w:rsidR="00627A1C" w:rsidRDefault="00627A1C" w:rsidP="00627A1C">
      <w:pPr>
        <w:spacing w:after="0" w:line="240" w:lineRule="auto"/>
        <w:jc w:val="both"/>
      </w:pPr>
    </w:p>
    <w:p w:rsidR="00627A1C" w:rsidRDefault="00627A1C" w:rsidP="00627A1C">
      <w:pPr>
        <w:spacing w:after="0" w:line="240" w:lineRule="auto"/>
        <w:jc w:val="both"/>
        <w:rPr>
          <w:rFonts w:ascii="Calibri" w:eastAsia="Times New Roman" w:hAnsi="Calibri" w:cs="Arial"/>
          <w:spacing w:val="7"/>
          <w:lang w:eastAsia="pt-BR"/>
        </w:rPr>
      </w:pPr>
      <w:r>
        <w:rPr>
          <w:rFonts w:ascii="Calibri" w:eastAsia="Times New Roman" w:hAnsi="Calibri" w:cs="Arial"/>
          <w:b/>
          <w:bCs/>
          <w:lang w:eastAsia="pt-BR"/>
        </w:rPr>
        <w:t>Nota 1 –</w:t>
      </w:r>
      <w:r>
        <w:rPr>
          <w:rFonts w:ascii="Calibri" w:eastAsia="Times New Roman" w:hAnsi="Calibri" w:cs="Arial"/>
          <w:lang w:eastAsia="pt-BR"/>
        </w:rPr>
        <w:t xml:space="preserve"> </w:t>
      </w:r>
      <w:r>
        <w:rPr>
          <w:b/>
        </w:rPr>
        <w:t>Contexto Operacional:</w:t>
      </w:r>
      <w:r>
        <w:t xml:space="preserve"> a Câmara Municipal de Vereadores de </w:t>
      </w:r>
      <w:proofErr w:type="spellStart"/>
      <w:r>
        <w:t>Redentora-RS</w:t>
      </w:r>
      <w:proofErr w:type="spellEnd"/>
      <w:r>
        <w:t xml:space="preserve"> é órgão integrante da administração direta do município, o Poder Legislativo Municipal é autônomo e independente sendo gestor do seu orçamento</w:t>
      </w:r>
      <w:r>
        <w:rPr>
          <w:rFonts w:ascii="Calibri" w:eastAsia="Times New Roman" w:hAnsi="Calibri" w:cs="Arial"/>
          <w:spacing w:val="7"/>
          <w:lang w:eastAsia="pt-BR"/>
        </w:rPr>
        <w:t>.</w:t>
      </w:r>
    </w:p>
    <w:p w:rsidR="00627A1C" w:rsidRDefault="00627A1C" w:rsidP="00627A1C">
      <w:pPr>
        <w:keepNext/>
        <w:widowControl w:val="0"/>
        <w:tabs>
          <w:tab w:val="left" w:pos="720"/>
        </w:tabs>
        <w:suppressAutoHyphens/>
        <w:spacing w:after="0" w:line="240" w:lineRule="auto"/>
        <w:jc w:val="both"/>
        <w:outlineLvl w:val="0"/>
        <w:rPr>
          <w:rFonts w:ascii="Calibri" w:eastAsia="Times New Roman" w:hAnsi="Calibri" w:cs="Times New Roman"/>
          <w:b/>
          <w:bCs/>
          <w:color w:val="000000"/>
          <w:lang w:eastAsia="pt-BR"/>
        </w:rPr>
      </w:pPr>
    </w:p>
    <w:p w:rsidR="00627A1C" w:rsidRDefault="00627A1C" w:rsidP="00627A1C">
      <w:pPr>
        <w:spacing w:after="0" w:line="240" w:lineRule="auto"/>
        <w:jc w:val="both"/>
        <w:rPr>
          <w:rFonts w:ascii="Calibri" w:eastAsia="Calibri" w:hAnsi="Calibri" w:cs="Times New Roman"/>
          <w:lang w:eastAsia="pt-BR"/>
        </w:rPr>
      </w:pPr>
      <w:r>
        <w:rPr>
          <w:rFonts w:ascii="Calibri" w:eastAsia="Calibri" w:hAnsi="Calibri" w:cs="Times New Roman"/>
          <w:b/>
          <w:bCs/>
          <w:lang w:eastAsia="pt-BR"/>
        </w:rPr>
        <w:t>Nota 2 – Apresentação das Demonstrações Contábeis:</w:t>
      </w:r>
      <w:r>
        <w:rPr>
          <w:rFonts w:ascii="Calibri" w:eastAsia="Calibri" w:hAnsi="Calibri" w:cs="Times New Roman"/>
          <w:lang w:eastAsia="pt-BR"/>
        </w:rPr>
        <w:t xml:space="preserve"> foram elaboradas em observância com os dispositivos legais que regulam o assunto, em especial a Lei nº 4.320/64, a Lei Complementar nº 101/2000, os Princípios de Contabilidade, as Normas Brasileiras de Contabilidade Aplicadas ao Setor Público, o Manual de Contabilidade Aplicada ao Setor Público e demais disposições normativas vigentes.</w:t>
      </w:r>
    </w:p>
    <w:p w:rsidR="00627A1C" w:rsidRDefault="00627A1C" w:rsidP="00627A1C">
      <w:pPr>
        <w:spacing w:after="0" w:line="240" w:lineRule="auto"/>
        <w:jc w:val="both"/>
        <w:rPr>
          <w:rFonts w:ascii="Calibri" w:eastAsia="Times New Roman" w:hAnsi="Calibri" w:cs="Arial"/>
          <w:b/>
          <w:bCs/>
          <w:lang w:eastAsia="pt-BR"/>
        </w:rPr>
      </w:pPr>
    </w:p>
    <w:p w:rsidR="00627A1C" w:rsidRDefault="00627A1C" w:rsidP="00627A1C">
      <w:pPr>
        <w:spacing w:after="0" w:line="240" w:lineRule="auto"/>
        <w:jc w:val="both"/>
        <w:rPr>
          <w:rFonts w:ascii="Calibri" w:eastAsia="Times New Roman" w:hAnsi="Calibri" w:cs="Arial"/>
          <w:b/>
          <w:bCs/>
          <w:lang w:eastAsia="pt-BR"/>
        </w:rPr>
      </w:pPr>
      <w:r>
        <w:rPr>
          <w:rFonts w:ascii="Calibri" w:eastAsia="Times New Roman" w:hAnsi="Calibri" w:cs="Arial"/>
          <w:b/>
          <w:bCs/>
          <w:lang w:eastAsia="pt-BR"/>
        </w:rPr>
        <w:t xml:space="preserve">Nota 3 – Caixa e Equivalente de Caixa: </w:t>
      </w:r>
      <w:r>
        <w:rPr>
          <w:rFonts w:ascii="Calibri" w:eastAsia="Times New Roman" w:hAnsi="Calibri" w:cs="Arial"/>
          <w:lang w:eastAsia="pt-BR"/>
        </w:rPr>
        <w:t>compreende o somatório dos valores em caixa e em bancos, bem como equivalentes, que representam recursos com livre movimentação para aplicação nas operações da entidade e para os quais não haja restr</w:t>
      </w:r>
      <w:r w:rsidR="001C209A">
        <w:rPr>
          <w:rFonts w:ascii="Calibri" w:eastAsia="Times New Roman" w:hAnsi="Calibri" w:cs="Arial"/>
          <w:lang w:eastAsia="pt-BR"/>
        </w:rPr>
        <w:t>ições para uso imediato. Em 2021</w:t>
      </w:r>
      <w:r>
        <w:rPr>
          <w:rFonts w:ascii="Calibri" w:eastAsia="Times New Roman" w:hAnsi="Calibri" w:cs="Arial"/>
          <w:lang w:eastAsia="pt-BR"/>
        </w:rPr>
        <w:t>, o Caixa e Equivalente</w:t>
      </w:r>
      <w:r w:rsidR="001C209A">
        <w:rPr>
          <w:rFonts w:ascii="Calibri" w:eastAsia="Times New Roman" w:hAnsi="Calibri" w:cs="Arial"/>
          <w:lang w:eastAsia="pt-BR"/>
        </w:rPr>
        <w:t>s de Caixa totalizou R$ 6.950,28</w:t>
      </w:r>
      <w:r>
        <w:rPr>
          <w:rFonts w:ascii="Calibri" w:eastAsia="Times New Roman" w:hAnsi="Calibri" w:cs="Arial"/>
          <w:lang w:eastAsia="pt-BR"/>
        </w:rPr>
        <w:t>, valor que será descontado do duodécimo de janeiro de 2021.</w:t>
      </w:r>
    </w:p>
    <w:p w:rsidR="00627A1C" w:rsidRDefault="00627A1C" w:rsidP="00627A1C">
      <w:pPr>
        <w:spacing w:after="0" w:line="240" w:lineRule="auto"/>
        <w:jc w:val="both"/>
        <w:rPr>
          <w:rFonts w:ascii="Calibri" w:eastAsia="Times New Roman" w:hAnsi="Calibri" w:cs="Arial"/>
          <w:b/>
          <w:bCs/>
          <w:lang w:eastAsia="pt-BR"/>
        </w:rPr>
      </w:pPr>
    </w:p>
    <w:p w:rsidR="00627A1C" w:rsidRDefault="00627A1C" w:rsidP="00627A1C">
      <w:pPr>
        <w:spacing w:after="0" w:line="240" w:lineRule="auto"/>
        <w:jc w:val="both"/>
        <w:rPr>
          <w:rFonts w:ascii="Calibri" w:eastAsia="Times New Roman" w:hAnsi="Calibri" w:cs="Arial"/>
          <w:lang w:eastAsia="pt-BR"/>
        </w:rPr>
      </w:pPr>
      <w:r>
        <w:rPr>
          <w:rFonts w:ascii="Calibri" w:eastAsia="Times New Roman" w:hAnsi="Calibri" w:cs="Arial"/>
          <w:b/>
          <w:bCs/>
          <w:lang w:eastAsia="pt-BR"/>
        </w:rPr>
        <w:t xml:space="preserve">Nota 4 – Créditos a Receber </w:t>
      </w:r>
      <w:proofErr w:type="gramStart"/>
      <w:r>
        <w:rPr>
          <w:rFonts w:ascii="Calibri" w:eastAsia="Times New Roman" w:hAnsi="Calibri" w:cs="Arial"/>
          <w:b/>
          <w:bCs/>
          <w:lang w:eastAsia="pt-BR"/>
        </w:rPr>
        <w:t>a Curto Prazo</w:t>
      </w:r>
      <w:proofErr w:type="gramEnd"/>
      <w:r>
        <w:rPr>
          <w:rFonts w:ascii="Calibri" w:eastAsia="Times New Roman" w:hAnsi="Calibri" w:cs="Arial"/>
          <w:b/>
          <w:bCs/>
          <w:lang w:eastAsia="pt-BR"/>
        </w:rPr>
        <w:t xml:space="preserve"> e a Longo Prazos: </w:t>
      </w:r>
      <w:r>
        <w:rPr>
          <w:rFonts w:ascii="Calibri" w:eastAsia="Times New Roman" w:hAnsi="Calibri" w:cs="Arial"/>
          <w:lang w:eastAsia="pt-BR"/>
        </w:rPr>
        <w:t>A Câmara Municipal não possui Créditos a Receber nem a curto e nem a longo prazo.</w:t>
      </w:r>
      <w:r>
        <w:rPr>
          <w:rFonts w:ascii="Calibri" w:eastAsia="Times New Roman" w:hAnsi="Calibri" w:cs="Arial"/>
          <w:bCs/>
          <w:lang w:eastAsia="pt-BR"/>
        </w:rPr>
        <w:t xml:space="preserve">  </w:t>
      </w:r>
    </w:p>
    <w:p w:rsidR="00627A1C" w:rsidRDefault="00627A1C" w:rsidP="00627A1C">
      <w:pPr>
        <w:spacing w:after="0" w:line="240" w:lineRule="auto"/>
        <w:jc w:val="both"/>
        <w:rPr>
          <w:rFonts w:ascii="Calibri" w:eastAsia="Times New Roman" w:hAnsi="Calibri" w:cs="Arial"/>
          <w:lang w:eastAsia="pt-BR"/>
        </w:rPr>
      </w:pPr>
    </w:p>
    <w:p w:rsidR="00627A1C" w:rsidRDefault="00627A1C" w:rsidP="00627A1C">
      <w:pPr>
        <w:spacing w:after="0" w:line="240" w:lineRule="auto"/>
        <w:jc w:val="both"/>
        <w:rPr>
          <w:rFonts w:eastAsia="Times New Roman" w:cs="Arial"/>
          <w:bCs/>
          <w:lang w:eastAsia="pt-BR"/>
        </w:rPr>
      </w:pPr>
      <w:r>
        <w:rPr>
          <w:rFonts w:eastAsia="Times New Roman" w:cs="Arial"/>
          <w:b/>
          <w:bCs/>
          <w:lang w:eastAsia="pt-BR"/>
        </w:rPr>
        <w:t xml:space="preserve">Nota 5 – Investimentos e Aplicações Temporárias </w:t>
      </w:r>
      <w:proofErr w:type="gramStart"/>
      <w:r>
        <w:rPr>
          <w:rFonts w:eastAsia="Times New Roman" w:cs="Arial"/>
          <w:b/>
          <w:bCs/>
          <w:lang w:eastAsia="pt-BR"/>
        </w:rPr>
        <w:t>a Curto Prazo</w:t>
      </w:r>
      <w:proofErr w:type="gramEnd"/>
      <w:r>
        <w:rPr>
          <w:rFonts w:eastAsia="Times New Roman" w:cs="Arial"/>
          <w:b/>
          <w:bCs/>
          <w:lang w:eastAsia="pt-BR"/>
        </w:rPr>
        <w:t xml:space="preserve">: </w:t>
      </w:r>
      <w:r>
        <w:rPr>
          <w:rFonts w:eastAsia="Times New Roman" w:cs="Arial"/>
          <w:bCs/>
          <w:lang w:eastAsia="pt-BR"/>
        </w:rPr>
        <w:t>A Câmara Municipal não possui Investimentos e Aplicações Temporárias a Curto Prazo.</w:t>
      </w:r>
    </w:p>
    <w:p w:rsidR="00627A1C" w:rsidRDefault="00627A1C" w:rsidP="00627A1C">
      <w:pPr>
        <w:spacing w:after="0" w:line="240" w:lineRule="auto"/>
        <w:jc w:val="both"/>
        <w:rPr>
          <w:rFonts w:eastAsia="Times New Roman" w:cs="Arial"/>
          <w:bCs/>
          <w:lang w:eastAsia="pt-BR"/>
        </w:rPr>
      </w:pPr>
    </w:p>
    <w:p w:rsidR="00627A1C" w:rsidRDefault="00627A1C" w:rsidP="00627A1C">
      <w:pPr>
        <w:spacing w:after="0" w:line="240" w:lineRule="auto"/>
        <w:jc w:val="both"/>
      </w:pPr>
      <w:r>
        <w:rPr>
          <w:rFonts w:eastAsia="Times New Roman" w:cs="Arial"/>
          <w:b/>
          <w:bCs/>
          <w:lang w:eastAsia="pt-BR"/>
        </w:rPr>
        <w:t xml:space="preserve">Nota 6 – Estoques: </w:t>
      </w:r>
      <w:r>
        <w:t>Não há conta Estoques no balanço do legislativo, as mercadorias são consideradas como consumo imediato, sendo registrado, por ocasião da liquidação, em VPD.</w:t>
      </w:r>
    </w:p>
    <w:p w:rsidR="00627A1C" w:rsidRDefault="00627A1C" w:rsidP="00627A1C">
      <w:pPr>
        <w:spacing w:after="0" w:line="240" w:lineRule="auto"/>
        <w:jc w:val="both"/>
      </w:pPr>
    </w:p>
    <w:p w:rsidR="00627A1C" w:rsidRDefault="00627A1C" w:rsidP="00627A1C">
      <w:pPr>
        <w:spacing w:after="0" w:line="240" w:lineRule="auto"/>
        <w:jc w:val="both"/>
        <w:rPr>
          <w:rFonts w:eastAsia="Times New Roman" w:cs="Arial"/>
          <w:bCs/>
          <w:lang w:eastAsia="pt-BR"/>
        </w:rPr>
      </w:pPr>
      <w:r>
        <w:rPr>
          <w:rFonts w:eastAsia="Times New Roman" w:cs="Arial"/>
          <w:b/>
          <w:bCs/>
          <w:lang w:eastAsia="pt-BR"/>
        </w:rPr>
        <w:t>Nota 7 – VPD</w:t>
      </w:r>
      <w:proofErr w:type="gramStart"/>
      <w:r>
        <w:rPr>
          <w:rFonts w:eastAsia="Times New Roman" w:cs="Arial"/>
          <w:b/>
          <w:bCs/>
          <w:lang w:eastAsia="pt-BR"/>
        </w:rPr>
        <w:t xml:space="preserve">  </w:t>
      </w:r>
      <w:proofErr w:type="gramEnd"/>
      <w:r>
        <w:rPr>
          <w:rFonts w:eastAsia="Times New Roman" w:cs="Arial"/>
          <w:b/>
          <w:bCs/>
          <w:lang w:eastAsia="pt-BR"/>
        </w:rPr>
        <w:t xml:space="preserve">Pagas Antecipadamente: </w:t>
      </w:r>
      <w:r>
        <w:rPr>
          <w:rFonts w:eastAsia="Times New Roman" w:cs="Arial"/>
          <w:bCs/>
          <w:lang w:eastAsia="pt-BR"/>
        </w:rPr>
        <w:t>A</w:t>
      </w:r>
      <w:r>
        <w:rPr>
          <w:rFonts w:eastAsia="Times New Roman" w:cs="Arial"/>
          <w:b/>
          <w:bCs/>
          <w:lang w:eastAsia="pt-BR"/>
        </w:rPr>
        <w:t xml:space="preserve"> </w:t>
      </w:r>
      <w:r>
        <w:rPr>
          <w:rFonts w:eastAsia="Times New Roman" w:cs="Arial"/>
          <w:bCs/>
          <w:lang w:eastAsia="pt-BR"/>
        </w:rPr>
        <w:t>Câmara Municipal não possui VPD Pagas antecipadamente.</w:t>
      </w:r>
    </w:p>
    <w:p w:rsidR="00627A1C" w:rsidRDefault="00627A1C" w:rsidP="00627A1C">
      <w:pPr>
        <w:spacing w:after="0" w:line="240" w:lineRule="auto"/>
        <w:jc w:val="both"/>
        <w:rPr>
          <w:rFonts w:eastAsia="Times New Roman" w:cs="Arial"/>
          <w:bCs/>
          <w:lang w:eastAsia="pt-BR"/>
        </w:rPr>
      </w:pPr>
    </w:p>
    <w:p w:rsidR="00627A1C" w:rsidRDefault="00627A1C" w:rsidP="00627A1C">
      <w:pPr>
        <w:spacing w:after="0" w:line="240" w:lineRule="auto"/>
        <w:jc w:val="both"/>
        <w:rPr>
          <w:rFonts w:eastAsia="Times New Roman" w:cs="Arial"/>
          <w:lang w:eastAsia="pt-BR"/>
        </w:rPr>
      </w:pPr>
      <w:r>
        <w:rPr>
          <w:rFonts w:eastAsia="Times New Roman" w:cs="Arial"/>
          <w:b/>
          <w:bCs/>
          <w:lang w:eastAsia="pt-BR"/>
        </w:rPr>
        <w:t xml:space="preserve">Nota 8 – Investimentos: </w:t>
      </w:r>
      <w:r>
        <w:rPr>
          <w:rFonts w:eastAsia="Times New Roman" w:cs="Arial"/>
          <w:bCs/>
          <w:lang w:eastAsia="pt-BR"/>
        </w:rPr>
        <w:t xml:space="preserve">Câmara Municipal não </w:t>
      </w:r>
      <w:proofErr w:type="gramStart"/>
      <w:r>
        <w:rPr>
          <w:rFonts w:eastAsia="Times New Roman" w:cs="Arial"/>
          <w:bCs/>
          <w:lang w:eastAsia="pt-BR"/>
        </w:rPr>
        <w:t>possui,</w:t>
      </w:r>
      <w:proofErr w:type="gramEnd"/>
      <w:r>
        <w:rPr>
          <w:rFonts w:eastAsia="Times New Roman" w:cs="Arial"/>
          <w:lang w:eastAsia="pt-BR"/>
        </w:rPr>
        <w:t xml:space="preserve"> participações permanentes em outras sociedades, nem bens e direitos não classificáveis no Ativo Circulante, nem no Ativo Não Circulante.</w:t>
      </w:r>
    </w:p>
    <w:p w:rsidR="00627A1C" w:rsidRDefault="00627A1C" w:rsidP="00627A1C">
      <w:pPr>
        <w:spacing w:after="0" w:line="240" w:lineRule="auto"/>
        <w:jc w:val="both"/>
        <w:rPr>
          <w:rFonts w:eastAsia="Times New Roman" w:cs="Arial"/>
          <w:lang w:eastAsia="pt-BR"/>
        </w:rPr>
      </w:pPr>
    </w:p>
    <w:p w:rsidR="00627A1C" w:rsidRDefault="00627A1C" w:rsidP="00627A1C">
      <w:pPr>
        <w:spacing w:after="0" w:line="240" w:lineRule="auto"/>
        <w:jc w:val="both"/>
        <w:rPr>
          <w:rFonts w:eastAsia="Times New Roman"/>
          <w:lang w:eastAsia="pt-BR"/>
        </w:rPr>
      </w:pPr>
      <w:r>
        <w:rPr>
          <w:rFonts w:eastAsia="Times New Roman" w:cs="Arial"/>
          <w:b/>
          <w:bCs/>
          <w:lang w:eastAsia="pt-BR"/>
        </w:rPr>
        <w:t xml:space="preserve">Nota </w:t>
      </w:r>
      <w:proofErr w:type="gramStart"/>
      <w:r>
        <w:rPr>
          <w:rFonts w:eastAsia="Times New Roman" w:cs="Arial"/>
          <w:b/>
          <w:bCs/>
          <w:lang w:eastAsia="pt-BR"/>
        </w:rPr>
        <w:t>9</w:t>
      </w:r>
      <w:proofErr w:type="gramEnd"/>
      <w:r>
        <w:rPr>
          <w:rFonts w:eastAsia="Times New Roman" w:cs="Arial"/>
          <w:b/>
          <w:bCs/>
          <w:lang w:eastAsia="pt-BR"/>
        </w:rPr>
        <w:t xml:space="preserve"> – Imobilizado – Bens Móveis: </w:t>
      </w:r>
      <w:r>
        <w:rPr>
          <w:rFonts w:eastAsia="Times New Roman" w:cs="Arial"/>
          <w:lang w:eastAsia="pt-BR"/>
        </w:rPr>
        <w:t xml:space="preserve">os saldos apresentados correspondem aos valores líquidos (sem a depreciação e ajuste a valor recuperável). Ainda não </w:t>
      </w:r>
      <w:r>
        <w:rPr>
          <w:rFonts w:eastAsia="Times New Roman"/>
          <w:lang w:eastAsia="pt-BR"/>
        </w:rPr>
        <w:t>foi iniciado o procedimento de depreciação. Em 202</w:t>
      </w:r>
      <w:r w:rsidR="001C209A">
        <w:rPr>
          <w:rFonts w:eastAsia="Times New Roman"/>
          <w:lang w:eastAsia="pt-BR"/>
        </w:rPr>
        <w:t>1</w:t>
      </w:r>
      <w:r>
        <w:rPr>
          <w:rFonts w:eastAsia="Times New Roman"/>
          <w:lang w:eastAsia="pt-BR"/>
        </w:rPr>
        <w:t xml:space="preserve"> os Bens Móveis totalizaram o valor de R$ </w:t>
      </w:r>
      <w:r w:rsidR="001C209A">
        <w:rPr>
          <w:rFonts w:eastAsia="Times New Roman"/>
          <w:lang w:eastAsia="pt-BR"/>
        </w:rPr>
        <w:t>137.583,52</w:t>
      </w:r>
      <w:r>
        <w:rPr>
          <w:rFonts w:eastAsia="Times New Roman"/>
          <w:lang w:eastAsia="pt-BR"/>
        </w:rPr>
        <w:t xml:space="preserve">. No confronto com o exercício anterior verifica-se um acréscimo de R$ </w:t>
      </w:r>
      <w:r w:rsidR="001C209A">
        <w:rPr>
          <w:rFonts w:eastAsia="Times New Roman"/>
          <w:lang w:eastAsia="pt-BR"/>
        </w:rPr>
        <w:t>4.337,00</w:t>
      </w:r>
      <w:r>
        <w:rPr>
          <w:rFonts w:eastAsia="Times New Roman"/>
          <w:lang w:eastAsia="pt-BR"/>
        </w:rPr>
        <w:t>.  A tabela a seguir demonstra a composição dos bens móveis:</w:t>
      </w:r>
    </w:p>
    <w:p w:rsidR="00627A1C" w:rsidRDefault="00627A1C" w:rsidP="00627A1C">
      <w:pPr>
        <w:spacing w:after="0" w:line="240" w:lineRule="auto"/>
        <w:jc w:val="both"/>
        <w:rPr>
          <w:noProof/>
          <w:lang w:eastAsia="pt-BR"/>
        </w:rPr>
      </w:pPr>
    </w:p>
    <w:p w:rsidR="00627A1C" w:rsidRDefault="001C209A" w:rsidP="00627A1C">
      <w:pPr>
        <w:spacing w:after="0" w:line="240" w:lineRule="auto"/>
        <w:jc w:val="both"/>
      </w:pPr>
      <w:r w:rsidRPr="001C209A">
        <w:rPr>
          <w:noProof/>
          <w:lang w:eastAsia="pt-BR"/>
        </w:rPr>
        <w:lastRenderedPageBreak/>
        <w:drawing>
          <wp:inline distT="0" distB="0" distL="0" distR="0" wp14:anchorId="38ACB714" wp14:editId="54F85454">
            <wp:extent cx="5400040" cy="312712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127121"/>
                    </a:xfrm>
                    <a:prstGeom prst="rect">
                      <a:avLst/>
                    </a:prstGeom>
                    <a:noFill/>
                    <a:ln>
                      <a:noFill/>
                    </a:ln>
                  </pic:spPr>
                </pic:pic>
              </a:graphicData>
            </a:graphic>
          </wp:inline>
        </w:drawing>
      </w:r>
    </w:p>
    <w:p w:rsidR="00627A1C" w:rsidRDefault="00627A1C" w:rsidP="00627A1C">
      <w:pPr>
        <w:spacing w:after="0" w:line="240" w:lineRule="auto"/>
        <w:jc w:val="both"/>
      </w:pPr>
    </w:p>
    <w:p w:rsidR="00627A1C" w:rsidRDefault="00627A1C" w:rsidP="00627A1C">
      <w:pPr>
        <w:spacing w:after="0" w:line="240" w:lineRule="auto"/>
        <w:jc w:val="both"/>
        <w:rPr>
          <w:rFonts w:eastAsia="Times New Roman"/>
          <w:lang w:eastAsia="pt-BR"/>
        </w:rPr>
      </w:pPr>
      <w:r>
        <w:rPr>
          <w:rFonts w:eastAsia="Times New Roman"/>
          <w:b/>
          <w:bCs/>
          <w:lang w:eastAsia="pt-BR"/>
        </w:rPr>
        <w:t xml:space="preserve">Nota 10 – Imobilizado – Bens Imóveis: </w:t>
      </w:r>
      <w:r>
        <w:rPr>
          <w:rFonts w:eastAsia="Times New Roman"/>
          <w:lang w:eastAsia="pt-BR"/>
        </w:rPr>
        <w:t>A Comissão c</w:t>
      </w:r>
      <w:r w:rsidR="00C774DD">
        <w:rPr>
          <w:rFonts w:eastAsia="Times New Roman"/>
          <w:lang w:eastAsia="pt-BR"/>
        </w:rPr>
        <w:t>riada pela Portaria nº 1032/2021</w:t>
      </w:r>
      <w:r>
        <w:rPr>
          <w:rFonts w:eastAsia="Times New Roman"/>
          <w:lang w:eastAsia="pt-BR"/>
        </w:rPr>
        <w:t>, está elaborando a relação dos imóveis de propriedade do Município, sendo assim ainda não está lançado o bem imóvel no Patrimônio.</w:t>
      </w:r>
    </w:p>
    <w:p w:rsidR="00627A1C" w:rsidRDefault="00627A1C" w:rsidP="00627A1C">
      <w:pPr>
        <w:spacing w:after="0" w:line="240" w:lineRule="auto"/>
        <w:jc w:val="both"/>
      </w:pPr>
    </w:p>
    <w:p w:rsidR="00627A1C" w:rsidRDefault="00627A1C" w:rsidP="00627A1C">
      <w:pPr>
        <w:snapToGrid w:val="0"/>
        <w:spacing w:after="0" w:line="240" w:lineRule="auto"/>
        <w:jc w:val="both"/>
        <w:rPr>
          <w:rFonts w:eastAsia="Times New Roman"/>
          <w:lang w:eastAsia="pt-BR"/>
        </w:rPr>
      </w:pPr>
      <w:r>
        <w:rPr>
          <w:rFonts w:eastAsia="Times New Roman"/>
          <w:b/>
          <w:bCs/>
          <w:lang w:eastAsia="pt-BR"/>
        </w:rPr>
        <w:t xml:space="preserve">Nota 11 – Ativo Intangível: </w:t>
      </w:r>
      <w:r>
        <w:rPr>
          <w:rFonts w:eastAsia="Times New Roman" w:cs="Arial"/>
          <w:bCs/>
          <w:lang w:eastAsia="pt-BR"/>
        </w:rPr>
        <w:t>A</w:t>
      </w:r>
      <w:r>
        <w:rPr>
          <w:rFonts w:eastAsia="Times New Roman" w:cs="Arial"/>
          <w:b/>
          <w:bCs/>
          <w:lang w:eastAsia="pt-BR"/>
        </w:rPr>
        <w:t xml:space="preserve"> </w:t>
      </w:r>
      <w:r>
        <w:rPr>
          <w:rFonts w:eastAsia="Times New Roman" w:cs="Arial"/>
          <w:bCs/>
          <w:lang w:eastAsia="pt-BR"/>
        </w:rPr>
        <w:t>Câmara Municipal não possui Ativo Intangível.</w:t>
      </w:r>
    </w:p>
    <w:p w:rsidR="00627A1C" w:rsidRDefault="00627A1C" w:rsidP="00627A1C">
      <w:pPr>
        <w:spacing w:after="0" w:line="240" w:lineRule="auto"/>
        <w:jc w:val="both"/>
      </w:pPr>
    </w:p>
    <w:p w:rsidR="00627A1C" w:rsidRDefault="00627A1C" w:rsidP="00627A1C">
      <w:pPr>
        <w:spacing w:after="0" w:line="240" w:lineRule="auto"/>
        <w:jc w:val="both"/>
        <w:rPr>
          <w:rFonts w:eastAsia="Times New Roman"/>
          <w:lang w:eastAsia="pt-BR"/>
        </w:rPr>
      </w:pPr>
      <w:r>
        <w:rPr>
          <w:rFonts w:eastAsia="Times New Roman"/>
          <w:b/>
          <w:bCs/>
          <w:lang w:eastAsia="pt-BR"/>
        </w:rPr>
        <w:t xml:space="preserve">Nota 12 - </w:t>
      </w:r>
      <w:r>
        <w:rPr>
          <w:rFonts w:eastAsia="Times New Roman" w:cs="Arial"/>
          <w:b/>
          <w:bCs/>
          <w:lang w:eastAsia="pt-BR"/>
        </w:rPr>
        <w:t xml:space="preserve">Obrigações Trab., Prev. e Assistenciais a Pagar </w:t>
      </w:r>
      <w:proofErr w:type="gramStart"/>
      <w:r>
        <w:rPr>
          <w:rFonts w:eastAsia="Times New Roman" w:cs="Arial"/>
          <w:b/>
          <w:bCs/>
          <w:lang w:eastAsia="pt-BR"/>
        </w:rPr>
        <w:t>a Curto Prazo</w:t>
      </w:r>
      <w:proofErr w:type="gramEnd"/>
      <w:r>
        <w:rPr>
          <w:rFonts w:eastAsia="Times New Roman" w:cs="Arial"/>
          <w:b/>
          <w:bCs/>
          <w:lang w:eastAsia="pt-BR"/>
        </w:rPr>
        <w:t xml:space="preserve"> e a Longo Prazo: c</w:t>
      </w:r>
      <w:r>
        <w:rPr>
          <w:rFonts w:eastAsia="Times New Roman"/>
          <w:lang w:eastAsia="pt-BR"/>
        </w:rPr>
        <w:t xml:space="preserve">ompreende o saldo das obrigações reconhecidas pelo regime de competência referentes a salários ou remunerações, bem como benefícios aos quais o empregado ou servidor tenha direito, aposentadorias, reformas, pensões e encargos a pagar, benefícios assistenciais, inclusive os precatórios decorrentes dessas obrigações.  No curto prazo foram classificados os valores exigíveis em até 12 meses da data das demonstrações contábeis.  O restante das obrigações dessa natureza </w:t>
      </w:r>
      <w:proofErr w:type="gramStart"/>
      <w:r>
        <w:rPr>
          <w:rFonts w:eastAsia="Times New Roman"/>
          <w:lang w:eastAsia="pt-BR"/>
        </w:rPr>
        <w:t>foram classificados</w:t>
      </w:r>
      <w:proofErr w:type="gramEnd"/>
      <w:r>
        <w:rPr>
          <w:rFonts w:eastAsia="Times New Roman"/>
          <w:lang w:eastAsia="pt-BR"/>
        </w:rPr>
        <w:t xml:space="preserve"> no longo prazo.  A Câmara não Possui tais obrigações nem a curto nem </w:t>
      </w:r>
      <w:proofErr w:type="gramStart"/>
      <w:r>
        <w:rPr>
          <w:rFonts w:eastAsia="Times New Roman"/>
          <w:lang w:eastAsia="pt-BR"/>
        </w:rPr>
        <w:t>a longo prazo</w:t>
      </w:r>
      <w:proofErr w:type="gramEnd"/>
      <w:r>
        <w:rPr>
          <w:rFonts w:eastAsia="Times New Roman"/>
          <w:lang w:eastAsia="pt-BR"/>
        </w:rPr>
        <w:t>.</w:t>
      </w:r>
      <w:r>
        <w:rPr>
          <w:rFonts w:ascii="Calibri" w:eastAsia="Times New Roman" w:hAnsi="Calibri" w:cs="Arial"/>
          <w:lang w:eastAsia="pt-BR"/>
        </w:rPr>
        <w:t xml:space="preserve"> .</w:t>
      </w:r>
      <w:r>
        <w:t xml:space="preserve"> Sendo que a Câmara não possui restos a pagar inscritos no exercício.</w:t>
      </w:r>
    </w:p>
    <w:p w:rsidR="00627A1C" w:rsidRDefault="00627A1C" w:rsidP="00627A1C">
      <w:pPr>
        <w:spacing w:after="0" w:line="240" w:lineRule="auto"/>
        <w:jc w:val="both"/>
        <w:rPr>
          <w:rFonts w:eastAsia="Times New Roman"/>
          <w:lang w:eastAsia="pt-BR"/>
        </w:rPr>
      </w:pPr>
    </w:p>
    <w:p w:rsidR="00627A1C" w:rsidRDefault="00627A1C" w:rsidP="00627A1C">
      <w:pPr>
        <w:spacing w:after="0" w:line="240" w:lineRule="auto"/>
        <w:jc w:val="both"/>
      </w:pPr>
      <w:r>
        <w:rPr>
          <w:rFonts w:eastAsia="Times New Roman" w:cs="Arial"/>
          <w:b/>
          <w:bCs/>
          <w:lang w:eastAsia="pt-BR"/>
        </w:rPr>
        <w:t xml:space="preserve">Nota 13 - Empréstimos e Financiamentos </w:t>
      </w:r>
      <w:proofErr w:type="gramStart"/>
      <w:r>
        <w:rPr>
          <w:rFonts w:eastAsia="Times New Roman" w:cs="Arial"/>
          <w:b/>
          <w:bCs/>
          <w:lang w:eastAsia="pt-BR"/>
        </w:rPr>
        <w:t>a Curto Prazo</w:t>
      </w:r>
      <w:proofErr w:type="gramEnd"/>
      <w:r>
        <w:rPr>
          <w:rFonts w:eastAsia="Times New Roman" w:cs="Arial"/>
          <w:b/>
          <w:bCs/>
          <w:lang w:eastAsia="pt-BR"/>
        </w:rPr>
        <w:t xml:space="preserve"> e Longo Prazo: </w:t>
      </w:r>
      <w:r>
        <w:rPr>
          <w:rFonts w:eastAsia="Times New Roman"/>
          <w:lang w:eastAsia="pt-BR"/>
        </w:rPr>
        <w:t xml:space="preserve">.  A Câmara não Possui tais empréstimo e financiamentos, nem a curto nem </w:t>
      </w:r>
      <w:proofErr w:type="gramStart"/>
      <w:r>
        <w:rPr>
          <w:rFonts w:eastAsia="Times New Roman"/>
          <w:lang w:eastAsia="pt-BR"/>
        </w:rPr>
        <w:t>a longo prazo</w:t>
      </w:r>
      <w:proofErr w:type="gramEnd"/>
      <w:r>
        <w:rPr>
          <w:rFonts w:eastAsia="Times New Roman"/>
          <w:lang w:eastAsia="pt-BR"/>
        </w:rPr>
        <w:t>.</w:t>
      </w:r>
      <w:r>
        <w:rPr>
          <w:rFonts w:ascii="Calibri" w:eastAsia="Times New Roman" w:hAnsi="Calibri" w:cs="Arial"/>
          <w:lang w:eastAsia="pt-BR"/>
        </w:rPr>
        <w:t xml:space="preserve"> </w:t>
      </w:r>
      <w:r>
        <w:t xml:space="preserve"> </w:t>
      </w:r>
    </w:p>
    <w:p w:rsidR="00627A1C" w:rsidRDefault="00627A1C" w:rsidP="00627A1C">
      <w:pPr>
        <w:spacing w:after="0" w:line="240" w:lineRule="auto"/>
        <w:jc w:val="both"/>
      </w:pPr>
    </w:p>
    <w:p w:rsidR="00627A1C" w:rsidRDefault="00627A1C" w:rsidP="00627A1C">
      <w:pPr>
        <w:spacing w:after="0" w:line="240" w:lineRule="auto"/>
        <w:jc w:val="both"/>
        <w:rPr>
          <w:rFonts w:eastAsia="Times New Roman"/>
          <w:lang w:eastAsia="pt-BR"/>
        </w:rPr>
      </w:pPr>
      <w:r>
        <w:rPr>
          <w:rFonts w:eastAsia="Times New Roman"/>
          <w:b/>
          <w:bCs/>
          <w:lang w:eastAsia="pt-BR"/>
        </w:rPr>
        <w:t xml:space="preserve">Nota 14 – Fornecedores e Contas a Pagar a Curto e </w:t>
      </w:r>
      <w:proofErr w:type="gramStart"/>
      <w:r>
        <w:rPr>
          <w:rFonts w:eastAsia="Times New Roman"/>
          <w:b/>
          <w:bCs/>
          <w:lang w:eastAsia="pt-BR"/>
        </w:rPr>
        <w:t>a Longo Prazo</w:t>
      </w:r>
      <w:proofErr w:type="gramEnd"/>
      <w:r>
        <w:rPr>
          <w:rFonts w:eastAsia="Times New Roman"/>
          <w:b/>
          <w:bCs/>
          <w:lang w:eastAsia="pt-BR"/>
        </w:rPr>
        <w:t xml:space="preserve">:  </w:t>
      </w:r>
      <w:r>
        <w:rPr>
          <w:rFonts w:eastAsia="Times New Roman"/>
          <w:lang w:eastAsia="pt-BR"/>
        </w:rPr>
        <w:t xml:space="preserve">os valores registrados nesses títulos são decorrentes de obrigações junto a fornecedores de matérias-primas, mercadorias e outros materiais utilizados nas atividades operacionais dos órgãos e entidades </w:t>
      </w:r>
      <w:proofErr w:type="gramStart"/>
      <w:r>
        <w:rPr>
          <w:rFonts w:eastAsia="Times New Roman"/>
          <w:lang w:eastAsia="pt-BR"/>
        </w:rPr>
        <w:t>da</w:t>
      </w:r>
      <w:proofErr w:type="gramEnd"/>
      <w:r>
        <w:rPr>
          <w:rFonts w:eastAsia="Times New Roman"/>
          <w:lang w:eastAsia="pt-BR"/>
        </w:rPr>
        <w:t xml:space="preserve"> administração direta e indireta. </w:t>
      </w:r>
      <w:proofErr w:type="gramStart"/>
      <w:r>
        <w:rPr>
          <w:rFonts w:eastAsia="Times New Roman"/>
          <w:lang w:eastAsia="pt-BR"/>
        </w:rPr>
        <w:t>Compreende</w:t>
      </w:r>
      <w:proofErr w:type="gramEnd"/>
      <w:r>
        <w:rPr>
          <w:rFonts w:eastAsia="Times New Roman"/>
          <w:lang w:eastAsia="pt-BR"/>
        </w:rPr>
        <w:t xml:space="preserve"> também obrigações decorrentes do fornecimento de utilidades e da prestação de serviços, tais como de energia elétrica, água, telefone, propaganda, aluguéis e todas as outras contas a pagar, inclusive, os precatórios decorrentes dessas obrigações, e os valores inscritos em restos a pagar processados.  A Câmara não Possui contas ou obrigações com fornecedores a pagar, nem a curto nem </w:t>
      </w:r>
      <w:proofErr w:type="gramStart"/>
      <w:r>
        <w:rPr>
          <w:rFonts w:eastAsia="Times New Roman"/>
          <w:lang w:eastAsia="pt-BR"/>
        </w:rPr>
        <w:t>a longo prazo</w:t>
      </w:r>
      <w:proofErr w:type="gramEnd"/>
      <w:r>
        <w:rPr>
          <w:rFonts w:eastAsia="Times New Roman"/>
          <w:lang w:eastAsia="pt-BR"/>
        </w:rPr>
        <w:t>.</w:t>
      </w:r>
      <w:r>
        <w:rPr>
          <w:rFonts w:ascii="Calibri" w:eastAsia="Times New Roman" w:hAnsi="Calibri" w:cs="Arial"/>
          <w:lang w:eastAsia="pt-BR"/>
        </w:rPr>
        <w:t xml:space="preserve"> </w:t>
      </w:r>
      <w:r>
        <w:t xml:space="preserve"> A Câmara não possui restos a pagar inscritos no exercício.</w:t>
      </w:r>
    </w:p>
    <w:p w:rsidR="00627A1C" w:rsidRDefault="00627A1C" w:rsidP="00627A1C">
      <w:pPr>
        <w:spacing w:after="0" w:line="240" w:lineRule="auto"/>
        <w:jc w:val="both"/>
        <w:rPr>
          <w:rFonts w:eastAsia="Times New Roman"/>
          <w:lang w:eastAsia="pt-BR"/>
        </w:rPr>
      </w:pPr>
    </w:p>
    <w:p w:rsidR="00627A1C" w:rsidRDefault="00627A1C" w:rsidP="00627A1C">
      <w:pPr>
        <w:spacing w:after="0" w:line="240" w:lineRule="auto"/>
        <w:jc w:val="both"/>
        <w:rPr>
          <w:rFonts w:eastAsia="Times New Roman"/>
          <w:lang w:eastAsia="pt-BR"/>
        </w:rPr>
      </w:pPr>
    </w:p>
    <w:p w:rsidR="00627A1C" w:rsidRDefault="00627A1C" w:rsidP="00627A1C">
      <w:pPr>
        <w:spacing w:after="0" w:line="240" w:lineRule="auto"/>
        <w:jc w:val="both"/>
      </w:pPr>
      <w:r>
        <w:rPr>
          <w:rFonts w:eastAsia="Times New Roman"/>
          <w:b/>
          <w:bCs/>
          <w:lang w:eastAsia="pt-BR"/>
        </w:rPr>
        <w:t xml:space="preserve">Nota 15 – Obrigações Fiscais a Curto e </w:t>
      </w:r>
      <w:proofErr w:type="gramStart"/>
      <w:r>
        <w:rPr>
          <w:rFonts w:eastAsia="Times New Roman"/>
          <w:b/>
          <w:bCs/>
          <w:lang w:eastAsia="pt-BR"/>
        </w:rPr>
        <w:t>a Longo Prazo</w:t>
      </w:r>
      <w:proofErr w:type="gramEnd"/>
      <w:r>
        <w:rPr>
          <w:rFonts w:eastAsia="Times New Roman"/>
          <w:lang w:eastAsia="pt-BR"/>
        </w:rPr>
        <w:t xml:space="preserve">: compreende o saldo das obrigações dos órgãos e entidades da Administração Municipal, relativas a impostos, taxas e contribuições </w:t>
      </w:r>
      <w:r>
        <w:rPr>
          <w:rFonts w:eastAsia="Times New Roman"/>
          <w:lang w:eastAsia="pt-BR"/>
        </w:rPr>
        <w:lastRenderedPageBreak/>
        <w:t xml:space="preserve">devidas à União, ao Estado e a Municípios.  A Câmara não Possui obrigações nem a curto nem </w:t>
      </w:r>
      <w:proofErr w:type="gramStart"/>
      <w:r>
        <w:rPr>
          <w:rFonts w:eastAsia="Times New Roman"/>
          <w:lang w:eastAsia="pt-BR"/>
        </w:rPr>
        <w:t>a longo prazo</w:t>
      </w:r>
      <w:proofErr w:type="gramEnd"/>
      <w:r>
        <w:t>.</w:t>
      </w:r>
    </w:p>
    <w:p w:rsidR="00627A1C" w:rsidRDefault="00627A1C" w:rsidP="00627A1C">
      <w:pPr>
        <w:spacing w:after="0" w:line="240" w:lineRule="auto"/>
        <w:jc w:val="both"/>
      </w:pPr>
    </w:p>
    <w:p w:rsidR="00627A1C" w:rsidRDefault="00627A1C" w:rsidP="00627A1C">
      <w:pPr>
        <w:spacing w:after="0" w:line="240" w:lineRule="auto"/>
        <w:jc w:val="both"/>
      </w:pPr>
      <w:r>
        <w:rPr>
          <w:rFonts w:eastAsia="Times New Roman" w:cs="Arial"/>
          <w:b/>
          <w:bCs/>
          <w:lang w:eastAsia="pt-BR"/>
        </w:rPr>
        <w:t xml:space="preserve">Nota 16 – Provisões a Curto e </w:t>
      </w:r>
      <w:proofErr w:type="gramStart"/>
      <w:r>
        <w:rPr>
          <w:rFonts w:eastAsia="Times New Roman" w:cs="Arial"/>
          <w:b/>
          <w:bCs/>
          <w:lang w:eastAsia="pt-BR"/>
        </w:rPr>
        <w:t>a Longo Prazo</w:t>
      </w:r>
      <w:proofErr w:type="gramEnd"/>
      <w:r>
        <w:rPr>
          <w:rFonts w:eastAsia="Times New Roman" w:cs="Arial"/>
          <w:lang w:eastAsia="pt-BR"/>
        </w:rPr>
        <w:t xml:space="preserve">: </w:t>
      </w:r>
      <w:r>
        <w:rPr>
          <w:rFonts w:eastAsia="Times New Roman"/>
          <w:lang w:eastAsia="pt-BR"/>
        </w:rPr>
        <w:t xml:space="preserve">A Câmara não </w:t>
      </w:r>
      <w:r w:rsidR="00C774DD">
        <w:rPr>
          <w:rFonts w:eastAsia="Times New Roman"/>
          <w:lang w:eastAsia="pt-BR"/>
        </w:rPr>
        <w:t xml:space="preserve">possui </w:t>
      </w:r>
      <w:r>
        <w:rPr>
          <w:rFonts w:eastAsia="Times New Roman"/>
          <w:lang w:eastAsia="pt-BR"/>
        </w:rPr>
        <w:t>Provisões nem a curto nem a longo prazo</w:t>
      </w:r>
      <w:r>
        <w:t>.</w:t>
      </w:r>
    </w:p>
    <w:p w:rsidR="00627A1C" w:rsidRDefault="00627A1C" w:rsidP="00627A1C">
      <w:pPr>
        <w:spacing w:after="0" w:line="240" w:lineRule="auto"/>
        <w:jc w:val="both"/>
      </w:pPr>
    </w:p>
    <w:p w:rsidR="00627A1C" w:rsidRDefault="00627A1C" w:rsidP="00627A1C">
      <w:pPr>
        <w:spacing w:after="0" w:line="240" w:lineRule="auto"/>
        <w:jc w:val="both"/>
        <w:rPr>
          <w:rFonts w:eastAsia="Times New Roman"/>
          <w:lang w:eastAsia="pt-BR"/>
        </w:rPr>
      </w:pPr>
      <w:r>
        <w:rPr>
          <w:rFonts w:eastAsia="Times New Roman" w:cs="Arial"/>
          <w:b/>
          <w:bCs/>
          <w:lang w:eastAsia="pt-BR"/>
        </w:rPr>
        <w:t xml:space="preserve">Nota 17 - Demais Obrigações </w:t>
      </w:r>
      <w:proofErr w:type="gramStart"/>
      <w:r>
        <w:rPr>
          <w:rFonts w:eastAsia="Times New Roman" w:cs="Arial"/>
          <w:b/>
          <w:bCs/>
          <w:lang w:eastAsia="pt-BR"/>
        </w:rPr>
        <w:t>a Curto Prazo</w:t>
      </w:r>
      <w:proofErr w:type="gramEnd"/>
      <w:r>
        <w:rPr>
          <w:rFonts w:eastAsia="Times New Roman" w:cs="Arial"/>
          <w:b/>
          <w:bCs/>
          <w:lang w:eastAsia="pt-BR"/>
        </w:rPr>
        <w:t xml:space="preserve"> e a Longo Prazo: </w:t>
      </w:r>
      <w:r>
        <w:rPr>
          <w:rFonts w:eastAsia="Times New Roman"/>
          <w:lang w:eastAsia="pt-BR"/>
        </w:rPr>
        <w:t>A Câmara possui demais obrigações  a cur</w:t>
      </w:r>
      <w:r w:rsidR="00C774DD">
        <w:rPr>
          <w:rFonts w:eastAsia="Times New Roman"/>
          <w:lang w:eastAsia="pt-BR"/>
        </w:rPr>
        <w:t>to prazo no valor de R$ 6.950,28</w:t>
      </w:r>
      <w:r>
        <w:rPr>
          <w:rFonts w:eastAsia="Times New Roman"/>
          <w:lang w:eastAsia="pt-BR"/>
        </w:rPr>
        <w:t>, referente a valor que ficou em caixa para desconto de duodécimo do mês de janeiro de 202</w:t>
      </w:r>
      <w:r w:rsidR="00C774DD">
        <w:rPr>
          <w:rFonts w:eastAsia="Times New Roman"/>
          <w:lang w:eastAsia="pt-BR"/>
        </w:rPr>
        <w:t>2</w:t>
      </w:r>
      <w:r>
        <w:rPr>
          <w:rFonts w:eastAsia="Times New Roman"/>
          <w:lang w:eastAsia="pt-BR"/>
        </w:rPr>
        <w:t>, e não possui demais obrigações  a longo prazo.</w:t>
      </w:r>
    </w:p>
    <w:p w:rsidR="00627A1C" w:rsidRDefault="00627A1C" w:rsidP="00627A1C">
      <w:pPr>
        <w:spacing w:after="0" w:line="240" w:lineRule="auto"/>
        <w:jc w:val="both"/>
        <w:rPr>
          <w:rFonts w:eastAsia="Times New Roman"/>
          <w:lang w:eastAsia="pt-BR"/>
        </w:rPr>
      </w:pPr>
    </w:p>
    <w:p w:rsidR="00627A1C" w:rsidRDefault="00627A1C" w:rsidP="00627A1C">
      <w:pPr>
        <w:spacing w:after="0" w:line="240" w:lineRule="auto"/>
        <w:jc w:val="both"/>
        <w:rPr>
          <w:rFonts w:eastAsia="Times New Roman"/>
          <w:lang w:eastAsia="pt-BR"/>
        </w:rPr>
      </w:pPr>
      <w:r>
        <w:rPr>
          <w:rFonts w:eastAsia="Times New Roman" w:cs="Arial"/>
          <w:b/>
          <w:bCs/>
          <w:lang w:eastAsia="pt-BR"/>
        </w:rPr>
        <w:t xml:space="preserve">Nota 18 – Dívida Flutuante: </w:t>
      </w:r>
      <w:r>
        <w:rPr>
          <w:rFonts w:eastAsia="Times New Roman" w:cs="Arial"/>
          <w:lang w:eastAsia="pt-BR"/>
        </w:rPr>
        <w:t>conforme o art. 92 da Lei Federal nº 4.320/64, o</w:t>
      </w:r>
      <w:r>
        <w:rPr>
          <w:rFonts w:eastAsia="Times New Roman"/>
          <w:lang w:eastAsia="pt-BR"/>
        </w:rPr>
        <w:t xml:space="preserve">s componentes da dívida flutuante são aqueles compromissos contraídos por período limitado de tempo (curto prazo), quer na sua condição de valores de terceiros, quer para atender às necessidades de caixa momentâneas, realizadas independentemente de autorização orçamentária, bem como os valores dos restos </w:t>
      </w:r>
      <w:proofErr w:type="gramStart"/>
      <w:r>
        <w:rPr>
          <w:rFonts w:eastAsia="Times New Roman"/>
          <w:lang w:eastAsia="pt-BR"/>
        </w:rPr>
        <w:t>pagar</w:t>
      </w:r>
      <w:proofErr w:type="gramEnd"/>
      <w:r>
        <w:rPr>
          <w:rFonts w:eastAsia="Times New Roman"/>
          <w:lang w:eastAsia="pt-BR"/>
        </w:rPr>
        <w:t>. A Dívida Flutuante de 2019 totalizou em R$ 0,00, correspondendo, na ótica da Lei Federal nº 4.320/64 ao Passivo Financeiro.</w:t>
      </w:r>
    </w:p>
    <w:p w:rsidR="00627A1C" w:rsidRDefault="00627A1C" w:rsidP="00627A1C">
      <w:pPr>
        <w:spacing w:after="0" w:line="240" w:lineRule="auto"/>
        <w:jc w:val="both"/>
        <w:rPr>
          <w:rFonts w:eastAsia="Times New Roman"/>
          <w:lang w:eastAsia="pt-BR"/>
        </w:rPr>
      </w:pPr>
    </w:p>
    <w:p w:rsidR="00627A1C" w:rsidRDefault="00627A1C" w:rsidP="00627A1C">
      <w:pPr>
        <w:spacing w:after="0" w:line="240" w:lineRule="auto"/>
        <w:jc w:val="both"/>
        <w:rPr>
          <w:rFonts w:eastAsia="Times New Roman"/>
          <w:lang w:eastAsia="pt-BR"/>
        </w:rPr>
      </w:pPr>
    </w:p>
    <w:p w:rsidR="00627A1C" w:rsidRDefault="00627A1C" w:rsidP="00627A1C">
      <w:pPr>
        <w:spacing w:after="0" w:line="240" w:lineRule="auto"/>
        <w:jc w:val="both"/>
        <w:rPr>
          <w:rFonts w:eastAsia="Times New Roman"/>
          <w:lang w:eastAsia="pt-BR"/>
        </w:rPr>
      </w:pPr>
      <w:r>
        <w:rPr>
          <w:rFonts w:eastAsia="Times New Roman" w:cs="Arial"/>
          <w:b/>
          <w:bCs/>
          <w:lang w:eastAsia="pt-BR"/>
        </w:rPr>
        <w:t xml:space="preserve">Nota 19 – Patrimônio Líquido: </w:t>
      </w:r>
      <w:r>
        <w:rPr>
          <w:rFonts w:eastAsia="Times New Roman"/>
          <w:lang w:eastAsia="pt-BR"/>
        </w:rPr>
        <w:t xml:space="preserve">compreende o valor residual dos ativos depois de deduzidos todos os passivos. Esse grupo é composto pelos saldos de Patrimônio Social e Capital Social, </w:t>
      </w:r>
      <w:proofErr w:type="gramStart"/>
      <w:r>
        <w:rPr>
          <w:rFonts w:eastAsia="Times New Roman"/>
          <w:lang w:eastAsia="pt-BR"/>
        </w:rPr>
        <w:t>Adiantamento para Futuro Aumento</w:t>
      </w:r>
      <w:proofErr w:type="gramEnd"/>
      <w:r>
        <w:rPr>
          <w:rFonts w:eastAsia="Times New Roman"/>
          <w:lang w:eastAsia="pt-BR"/>
        </w:rPr>
        <w:t xml:space="preserve"> de Capital, Reservas de Capital, Ajustes de Avaliação Patrimonial, Reservas de Lucros, Demais Reservas, Resultados Acumulados e Ações / Cotas em Tesouraria.  </w:t>
      </w:r>
      <w:proofErr w:type="gramStart"/>
      <w:r w:rsidR="00C774DD">
        <w:rPr>
          <w:rFonts w:eastAsia="Times New Roman"/>
          <w:lang w:eastAsia="pt-BR"/>
        </w:rPr>
        <w:t>O Patrimônio Liquido</w:t>
      </w:r>
      <w:proofErr w:type="gramEnd"/>
      <w:r w:rsidR="00C774DD">
        <w:rPr>
          <w:rFonts w:eastAsia="Times New Roman"/>
          <w:lang w:eastAsia="pt-BR"/>
        </w:rPr>
        <w:t xml:space="preserve"> a</w:t>
      </w:r>
      <w:r>
        <w:rPr>
          <w:rFonts w:eastAsia="Times New Roman"/>
          <w:lang w:eastAsia="pt-BR"/>
        </w:rPr>
        <w:t>pós apuração do resultado do exercício</w:t>
      </w:r>
      <w:r w:rsidR="00C774DD">
        <w:rPr>
          <w:rFonts w:eastAsia="Times New Roman"/>
          <w:lang w:eastAsia="pt-BR"/>
        </w:rPr>
        <w:t xml:space="preserve"> foi de R$ 137.583,52</w:t>
      </w:r>
      <w:r>
        <w:rPr>
          <w:rFonts w:eastAsia="Times New Roman"/>
          <w:lang w:eastAsia="pt-BR"/>
        </w:rPr>
        <w:t>, que evidenciou um resultado</w:t>
      </w:r>
      <w:r w:rsidR="00C774DD">
        <w:rPr>
          <w:rFonts w:eastAsia="Times New Roman"/>
          <w:lang w:eastAsia="pt-BR"/>
        </w:rPr>
        <w:t xml:space="preserve"> positivo </w:t>
      </w:r>
      <w:r>
        <w:rPr>
          <w:rFonts w:eastAsia="Times New Roman"/>
          <w:lang w:eastAsia="pt-BR"/>
        </w:rPr>
        <w:t xml:space="preserve">de R$ </w:t>
      </w:r>
      <w:r w:rsidR="00C774DD">
        <w:rPr>
          <w:rFonts w:eastAsia="Times New Roman"/>
          <w:lang w:eastAsia="pt-BR"/>
        </w:rPr>
        <w:t>4.337,</w:t>
      </w:r>
      <w:r>
        <w:rPr>
          <w:rFonts w:eastAsia="Times New Roman"/>
          <w:lang w:eastAsia="pt-BR"/>
        </w:rPr>
        <w:t>00,</w:t>
      </w:r>
      <w:r w:rsidR="00C774DD">
        <w:rPr>
          <w:rFonts w:eastAsia="Times New Roman"/>
          <w:lang w:eastAsia="pt-BR"/>
        </w:rPr>
        <w:t xml:space="preserve"> em relação ao ano de 2020,</w:t>
      </w:r>
      <w:r>
        <w:rPr>
          <w:rFonts w:eastAsia="Times New Roman"/>
          <w:lang w:eastAsia="pt-BR"/>
        </w:rPr>
        <w:t xml:space="preserve"> valor este, refer</w:t>
      </w:r>
      <w:r w:rsidR="00C774DD">
        <w:rPr>
          <w:rFonts w:eastAsia="Times New Roman"/>
          <w:lang w:eastAsia="pt-BR"/>
        </w:rPr>
        <w:t>ente à aquisição de imobilizado no ano de 2021.</w:t>
      </w:r>
    </w:p>
    <w:p w:rsidR="00627A1C" w:rsidRDefault="00627A1C" w:rsidP="00627A1C">
      <w:pPr>
        <w:spacing w:after="0" w:line="240" w:lineRule="auto"/>
        <w:jc w:val="both"/>
        <w:rPr>
          <w:rFonts w:eastAsia="Times New Roman"/>
          <w:b/>
          <w:bCs/>
          <w:lang w:eastAsia="pt-BR"/>
        </w:rPr>
      </w:pPr>
    </w:p>
    <w:p w:rsidR="00627A1C" w:rsidRDefault="00627A1C" w:rsidP="00627A1C">
      <w:pPr>
        <w:spacing w:after="0"/>
        <w:jc w:val="both"/>
      </w:pPr>
    </w:p>
    <w:p w:rsidR="00627A1C" w:rsidRDefault="00627A1C" w:rsidP="00627A1C">
      <w:pPr>
        <w:spacing w:after="0"/>
        <w:jc w:val="both"/>
      </w:pPr>
      <w:r>
        <w:t>Renan Formentini Pereira</w:t>
      </w:r>
    </w:p>
    <w:p w:rsidR="00627A1C" w:rsidRDefault="00627A1C" w:rsidP="00627A1C">
      <w:pPr>
        <w:spacing w:after="0"/>
        <w:jc w:val="both"/>
      </w:pPr>
      <w:r>
        <w:t>CRC 084193/O-1</w:t>
      </w:r>
    </w:p>
    <w:p w:rsidR="00627A1C" w:rsidRDefault="00627A1C" w:rsidP="00627A1C">
      <w:pPr>
        <w:spacing w:after="0" w:line="240" w:lineRule="auto"/>
        <w:jc w:val="both"/>
      </w:pPr>
    </w:p>
    <w:p w:rsidR="00627A1C" w:rsidRDefault="00627A1C" w:rsidP="00627A1C"/>
    <w:p w:rsidR="00627A1C" w:rsidRDefault="00627A1C" w:rsidP="00627A1C"/>
    <w:p w:rsidR="0010474C" w:rsidRDefault="0010474C"/>
    <w:sectPr w:rsidR="001047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8gBEn2oSpjeRKRKpAFR2GhCeEdQ=" w:salt="XPd9LRpsEjOiapL29IkQN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87"/>
    <w:rsid w:val="00085CFA"/>
    <w:rsid w:val="0010474C"/>
    <w:rsid w:val="00127F87"/>
    <w:rsid w:val="001C209A"/>
    <w:rsid w:val="00627A1C"/>
    <w:rsid w:val="009878B2"/>
    <w:rsid w:val="00C77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27A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7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27A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7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942</Words>
  <Characters>5087</Characters>
  <Application>Microsoft Office Word</Application>
  <DocSecurity>8</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5</cp:revision>
  <dcterms:created xsi:type="dcterms:W3CDTF">2022-01-12T16:47:00Z</dcterms:created>
  <dcterms:modified xsi:type="dcterms:W3CDTF">2022-01-26T11:42:00Z</dcterms:modified>
</cp:coreProperties>
</file>