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A23" w:rsidRDefault="00810A23" w:rsidP="00810A23">
      <w:pPr>
        <w:spacing w:after="60" w:line="240" w:lineRule="auto"/>
        <w:jc w:val="center"/>
        <w:outlineLvl w:val="1"/>
        <w:rPr>
          <w:rFonts w:eastAsia="Times New Roman"/>
          <w:b/>
          <w:sz w:val="24"/>
          <w:szCs w:val="24"/>
          <w:lang w:eastAsia="pt-BR"/>
        </w:rPr>
      </w:pPr>
      <w:bookmarkStart w:id="0" w:name="_Toc466274112"/>
      <w:bookmarkStart w:id="1" w:name="_GoBack"/>
      <w:bookmarkEnd w:id="1"/>
      <w:r>
        <w:rPr>
          <w:rFonts w:eastAsia="Times New Roman"/>
          <w:b/>
          <w:sz w:val="24"/>
          <w:szCs w:val="24"/>
          <w:lang w:eastAsia="pt-BR"/>
        </w:rPr>
        <w:t>LEGISLATIVO DE REDENTORA – 2021</w:t>
      </w:r>
    </w:p>
    <w:p w:rsidR="00810A23" w:rsidRDefault="00810A23" w:rsidP="00810A23">
      <w:pPr>
        <w:spacing w:after="60" w:line="240" w:lineRule="auto"/>
        <w:jc w:val="center"/>
        <w:outlineLvl w:val="1"/>
        <w:rPr>
          <w:rFonts w:eastAsia="Times New Roman"/>
          <w:b/>
          <w:sz w:val="24"/>
          <w:szCs w:val="24"/>
          <w:lang w:eastAsia="pt-BR"/>
        </w:rPr>
      </w:pPr>
      <w:r>
        <w:rPr>
          <w:rFonts w:eastAsia="Times New Roman"/>
          <w:b/>
          <w:sz w:val="24"/>
          <w:szCs w:val="24"/>
          <w:lang w:eastAsia="pt-BR"/>
        </w:rPr>
        <w:t>Notas Explicativas do Balanço Orçamentário</w:t>
      </w:r>
      <w:bookmarkEnd w:id="0"/>
    </w:p>
    <w:p w:rsidR="00810A23" w:rsidRDefault="00810A23" w:rsidP="00810A23">
      <w:pPr>
        <w:spacing w:after="0" w:line="240" w:lineRule="auto"/>
        <w:jc w:val="both"/>
        <w:rPr>
          <w:rFonts w:eastAsia="Times New Roman" w:cs="Arial"/>
          <w:lang w:eastAsia="pt-BR"/>
        </w:rPr>
      </w:pPr>
      <w:r>
        <w:rPr>
          <w:rFonts w:eastAsia="Times New Roman" w:cs="Arial"/>
          <w:b/>
          <w:lang w:eastAsia="pt-BR"/>
        </w:rPr>
        <w:t xml:space="preserve"> Nota 1 - Contexto operacional: </w:t>
      </w:r>
      <w:r>
        <w:rPr>
          <w:rFonts w:eastAsia="Times New Roman" w:cs="Arial"/>
          <w:lang w:eastAsia="pt-BR"/>
        </w:rPr>
        <w:t xml:space="preserve">os dados apresentados referem–se ás </w:t>
      </w:r>
      <w:r>
        <w:t xml:space="preserve">Demonstrações Contábeis do Poder Legislativo de </w:t>
      </w:r>
      <w:proofErr w:type="spellStart"/>
      <w:r>
        <w:t>Redentora-RS</w:t>
      </w:r>
      <w:proofErr w:type="spellEnd"/>
      <w:r>
        <w:rPr>
          <w:rFonts w:eastAsia="Times New Roman" w:cs="Arial"/>
          <w:spacing w:val="7"/>
          <w:lang w:eastAsia="pt-BR"/>
        </w:rPr>
        <w:t xml:space="preserve">, no que tange à previsão e execução das despesas orçamentárias, cujo detalhamento atende as especificações da Portaria Interministerial STN/SOF n.º 163/2001 e </w:t>
      </w:r>
      <w:r>
        <w:rPr>
          <w:rFonts w:eastAsia="Times New Roman" w:cs="Arial"/>
          <w:lang w:eastAsia="pt-BR"/>
        </w:rPr>
        <w:t>respectivas alterações.  Foram também observados os detalhamentos estabelecidos pelo Tribunal de Contas do Estado.</w:t>
      </w:r>
    </w:p>
    <w:p w:rsidR="00810A23" w:rsidRDefault="00810A23" w:rsidP="00810A23">
      <w:pPr>
        <w:spacing w:after="0" w:line="240" w:lineRule="auto"/>
        <w:jc w:val="both"/>
        <w:rPr>
          <w:rFonts w:eastAsia="Times New Roman" w:cs="Arial"/>
          <w:lang w:eastAsia="pt-BR"/>
        </w:rPr>
      </w:pPr>
      <w:r>
        <w:rPr>
          <w:rFonts w:eastAsia="Times New Roman" w:cs="Arial"/>
          <w:b/>
          <w:lang w:eastAsia="pt-BR"/>
        </w:rPr>
        <w:t xml:space="preserve">Nota 2 - Critério de apropriação: </w:t>
      </w:r>
      <w:r>
        <w:rPr>
          <w:rFonts w:eastAsia="Times New Roman" w:cs="Arial"/>
          <w:lang w:eastAsia="pt-BR"/>
        </w:rPr>
        <w:t>considerou como realizadas as despesas legalmente empenhadas no exercício, nos termos do art. 35 da Lei Federal nº 4.320/64, e não há registro de receita orçamentária uma vez que o Poder Legislativo não possui competência para arrecadar receitas.</w:t>
      </w:r>
    </w:p>
    <w:p w:rsidR="00810A23" w:rsidRDefault="00810A23" w:rsidP="00810A2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</w:rPr>
      </w:pPr>
      <w:r>
        <w:rPr>
          <w:rFonts w:eastAsia="Times New Roman" w:cs="Arial"/>
          <w:b/>
          <w:lang w:eastAsia="pt-BR"/>
        </w:rPr>
        <w:t xml:space="preserve">Nota 3 - Operações </w:t>
      </w:r>
      <w:proofErr w:type="spellStart"/>
      <w:r>
        <w:rPr>
          <w:rFonts w:eastAsia="Times New Roman" w:cs="Arial"/>
          <w:b/>
          <w:lang w:eastAsia="pt-BR"/>
        </w:rPr>
        <w:t>Intraorçamentárias</w:t>
      </w:r>
      <w:proofErr w:type="spellEnd"/>
      <w:r>
        <w:rPr>
          <w:rFonts w:eastAsia="Times New Roman" w:cs="Arial"/>
          <w:b/>
          <w:lang w:eastAsia="pt-BR"/>
        </w:rPr>
        <w:t>:</w:t>
      </w:r>
      <w:r>
        <w:rPr>
          <w:rFonts w:eastAsia="Times New Roman" w:cs="Arial"/>
          <w:lang w:eastAsia="pt-BR"/>
        </w:rPr>
        <w:t xml:space="preserve"> de acordo com o Manual de Contabilidade Aplicada ao Setor Público, às operações </w:t>
      </w:r>
      <w:r>
        <w:rPr>
          <w:rFonts w:eastAsia="Times New Roman" w:cs="Arial"/>
        </w:rPr>
        <w:t xml:space="preserve">realizadas entre órgãos e demais entidades do próprio Município representam operações </w:t>
      </w:r>
      <w:proofErr w:type="spellStart"/>
      <w:r>
        <w:rPr>
          <w:rFonts w:eastAsia="Times New Roman" w:cs="Arial"/>
        </w:rPr>
        <w:t>intraorçamentárias</w:t>
      </w:r>
      <w:proofErr w:type="spellEnd"/>
      <w:r>
        <w:rPr>
          <w:rFonts w:eastAsia="Times New Roman" w:cs="Arial"/>
        </w:rPr>
        <w:t xml:space="preserve">. O Legislativo municipal não teve operações </w:t>
      </w:r>
      <w:proofErr w:type="spellStart"/>
      <w:r>
        <w:rPr>
          <w:rFonts w:eastAsia="Times New Roman" w:cs="Arial"/>
        </w:rPr>
        <w:t>intraorçamentárias</w:t>
      </w:r>
      <w:proofErr w:type="spellEnd"/>
      <w:r>
        <w:rPr>
          <w:rFonts w:eastAsia="Times New Roman" w:cs="Arial"/>
        </w:rPr>
        <w:t xml:space="preserve"> em 2021.</w:t>
      </w:r>
    </w:p>
    <w:p w:rsidR="00810A23" w:rsidRDefault="00810A23" w:rsidP="00810A2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</w:rPr>
      </w:pPr>
      <w:r>
        <w:rPr>
          <w:rFonts w:eastAsia="Times New Roman" w:cs="Arial"/>
          <w:b/>
        </w:rPr>
        <w:t>Nota 4 -</w:t>
      </w:r>
      <w:r>
        <w:rPr>
          <w:rFonts w:eastAsia="Times New Roman" w:cs="Arial"/>
        </w:rPr>
        <w:t xml:space="preserve"> </w:t>
      </w:r>
      <w:r>
        <w:rPr>
          <w:rFonts w:eastAsia="Times New Roman" w:cs="Arial"/>
          <w:b/>
        </w:rPr>
        <w:t>Repasses Concedidos:</w:t>
      </w:r>
      <w:r>
        <w:rPr>
          <w:rFonts w:eastAsia="Times New Roman" w:cs="Arial"/>
        </w:rPr>
        <w:t xml:space="preserve"> de acordo com a Portaria STN nº 339/2001, os repasses financeiros pelo Poder Executivo e Poder Legislativo, foram processados por meio de documentos próprios, sem a emissão de empenho, sendo que os registros contábeis das transferências financeiras concedidas e recebidas foram efetuados em contas contábeis específicas de resultado, que representem as variações passivas e ativas financeiras correspondentes, conforme o seguinte resumo: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10"/>
        <w:gridCol w:w="1802"/>
      </w:tblGrid>
      <w:tr w:rsidR="00810A23" w:rsidTr="00810A23"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23" w:rsidRDefault="00810A23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sz w:val="20"/>
                <w:szCs w:val="20"/>
                <w:lang w:eastAsia="pt-BR"/>
              </w:rPr>
              <w:t>Transferência Recebida do Executivo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23" w:rsidRDefault="00810A23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sz w:val="20"/>
                <w:szCs w:val="20"/>
                <w:lang w:eastAsia="pt-BR"/>
              </w:rPr>
              <w:t>R$ 1.326.362,16</w:t>
            </w:r>
          </w:p>
        </w:tc>
      </w:tr>
      <w:tr w:rsidR="00810A23" w:rsidTr="00810A23"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23" w:rsidRDefault="00810A23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sz w:val="20"/>
                <w:szCs w:val="20"/>
                <w:lang w:eastAsia="pt-BR"/>
              </w:rPr>
              <w:t>Devolução de Transferência Recebida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23" w:rsidRDefault="00810A23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sz w:val="20"/>
                <w:szCs w:val="20"/>
                <w:lang w:eastAsia="pt-BR"/>
              </w:rPr>
              <w:t>R$     91</w:t>
            </w:r>
            <w:r w:rsidR="002D0F08">
              <w:rPr>
                <w:rFonts w:eastAsia="Times New Roman" w:cs="Arial"/>
                <w:sz w:val="20"/>
                <w:szCs w:val="20"/>
                <w:lang w:eastAsia="pt-BR"/>
              </w:rPr>
              <w:t>.421,08</w:t>
            </w:r>
          </w:p>
        </w:tc>
      </w:tr>
    </w:tbl>
    <w:p w:rsidR="00810A23" w:rsidRDefault="00810A23" w:rsidP="00810A23">
      <w:pPr>
        <w:spacing w:after="0"/>
      </w:pPr>
      <w:r>
        <w:rPr>
          <w:b/>
        </w:rPr>
        <w:t>Nota 5 – Abertura de Créditos Adicionais</w:t>
      </w:r>
      <w:r>
        <w:t>: No exercício de 2021</w:t>
      </w:r>
      <w:r w:rsidR="002D0F08">
        <w:t>, o legislativo abriu R$ 31</w:t>
      </w:r>
      <w:r>
        <w:t>.000,00 de créditos adicionais suplementares</w:t>
      </w:r>
      <w:proofErr w:type="gramStart"/>
      <w:r>
        <w:t xml:space="preserve">  </w:t>
      </w:r>
      <w:proofErr w:type="gramEnd"/>
      <w:r>
        <w:t>, tendo como origem de recurso a redução no próprio ente.</w:t>
      </w:r>
    </w:p>
    <w:p w:rsidR="00810A23" w:rsidRDefault="00810A23" w:rsidP="00810A23">
      <w:pPr>
        <w:spacing w:after="0"/>
      </w:pPr>
      <w:r>
        <w:rPr>
          <w:b/>
        </w:rPr>
        <w:t>Nota 6 – Restos a Pagar</w:t>
      </w:r>
      <w:r>
        <w:t>: as despesas que foram empenhadas</w:t>
      </w:r>
      <w:proofErr w:type="gramStart"/>
      <w:r>
        <w:t>, foram</w:t>
      </w:r>
      <w:proofErr w:type="gramEnd"/>
      <w:r>
        <w:t xml:space="preserve"> todas pagas até o último dia útil de 2021, em atendimento aos artigos 35, 36 e 92 da Lei nº 4.320/1964, não ficando restos a pagar no exercício.</w:t>
      </w:r>
    </w:p>
    <w:p w:rsidR="00810A23" w:rsidRDefault="00810A23" w:rsidP="00810A23">
      <w:pPr>
        <w:spacing w:after="0"/>
        <w:jc w:val="both"/>
      </w:pPr>
      <w:r>
        <w:t>Renan Formentini Pereira</w:t>
      </w:r>
    </w:p>
    <w:p w:rsidR="00810A23" w:rsidRDefault="00810A23" w:rsidP="00810A23">
      <w:pPr>
        <w:spacing w:after="0"/>
        <w:jc w:val="both"/>
      </w:pPr>
      <w:r>
        <w:t>CRC 084193/O-1</w:t>
      </w:r>
    </w:p>
    <w:p w:rsidR="00345BF7" w:rsidRDefault="00345BF7"/>
    <w:sectPr w:rsidR="00345B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vLTlHcuRGPz4t6Afb0EDGcI4DPo=" w:salt="JNGJuAMjo34JYfTMTnHdF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F0"/>
    <w:rsid w:val="002D0F08"/>
    <w:rsid w:val="00345BF7"/>
    <w:rsid w:val="00810A23"/>
    <w:rsid w:val="008915F0"/>
    <w:rsid w:val="00A8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A23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A23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324</Words>
  <Characters>1750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4</cp:revision>
  <dcterms:created xsi:type="dcterms:W3CDTF">2022-01-12T12:52:00Z</dcterms:created>
  <dcterms:modified xsi:type="dcterms:W3CDTF">2022-01-26T11:41:00Z</dcterms:modified>
</cp:coreProperties>
</file>